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黑体" w:hAnsi="黑体" w:eastAsia="黑体" w:cs="黑体"/>
        </w:rPr>
      </w:pPr>
      <w:r>
        <w:rPr>
          <w:rFonts w:hint="eastAsia" w:ascii="黑体" w:hAnsi="黑体" w:eastAsia="黑体" w:cs="黑体"/>
        </w:rPr>
        <w:t>深圳市儿童医院设备采购需求参数表</w:t>
      </w:r>
    </w:p>
    <w:tbl>
      <w:tblPr>
        <w:tblStyle w:val="8"/>
        <w:tblW w:w="9654" w:type="dxa"/>
        <w:jc w:val="center"/>
        <w:tblLayout w:type="autofit"/>
        <w:tblCellMar>
          <w:top w:w="0" w:type="dxa"/>
          <w:left w:w="108" w:type="dxa"/>
          <w:bottom w:w="0" w:type="dxa"/>
          <w:right w:w="108" w:type="dxa"/>
        </w:tblCellMar>
      </w:tblPr>
      <w:tblGrid>
        <w:gridCol w:w="673"/>
        <w:gridCol w:w="1300"/>
        <w:gridCol w:w="7681"/>
      </w:tblGrid>
      <w:tr>
        <w:tblPrEx>
          <w:tblCellMar>
            <w:top w:w="0" w:type="dxa"/>
            <w:left w:w="108" w:type="dxa"/>
            <w:bottom w:w="0" w:type="dxa"/>
            <w:right w:w="108" w:type="dxa"/>
          </w:tblCellMar>
        </w:tblPrEx>
        <w:trPr>
          <w:trHeight w:val="454" w:hRule="atLeast"/>
          <w:jc w:val="center"/>
        </w:trPr>
        <w:tc>
          <w:tcPr>
            <w:tcW w:w="673"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kern w:val="0"/>
                <w:sz w:val="22"/>
                <w:szCs w:val="22"/>
                <w14:textFill>
                  <w14:solidFill>
                    <w14:schemeClr w14:val="tx1"/>
                  </w14:solidFill>
                </w14:textFill>
              </w:rPr>
              <w:t>序号</w:t>
            </w:r>
          </w:p>
        </w:tc>
        <w:tc>
          <w:tcPr>
            <w:tcW w:w="1300" w:type="dxa"/>
            <w:tcBorders>
              <w:top w:val="single" w:color="3F3F3F" w:sz="4" w:space="0"/>
              <w:left w:val="single" w:color="auto" w:sz="4" w:space="0"/>
              <w:bottom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kern w:val="0"/>
                <w:sz w:val="22"/>
                <w:szCs w:val="22"/>
                <w14:textFill>
                  <w14:solidFill>
                    <w14:schemeClr w14:val="tx1"/>
                  </w14:solidFill>
                </w14:textFill>
              </w:rPr>
              <w:t>项目名称</w:t>
            </w: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kern w:val="0"/>
                <w:sz w:val="22"/>
                <w:szCs w:val="22"/>
                <w14:textFill>
                  <w14:solidFill>
                    <w14:schemeClr w14:val="tx1"/>
                  </w14:solidFill>
                </w14:textFill>
              </w:rPr>
              <w:t>招标事项及要求</w:t>
            </w:r>
          </w:p>
        </w:tc>
      </w:tr>
      <w:tr>
        <w:tblPrEx>
          <w:tblCellMar>
            <w:top w:w="0" w:type="dxa"/>
            <w:left w:w="108" w:type="dxa"/>
            <w:bottom w:w="0" w:type="dxa"/>
            <w:right w:w="108" w:type="dxa"/>
          </w:tblCellMar>
        </w:tblPrEx>
        <w:trPr>
          <w:trHeight w:val="454" w:hRule="atLeast"/>
          <w:jc w:val="center"/>
        </w:trPr>
        <w:tc>
          <w:tcPr>
            <w:tcW w:w="673" w:type="dxa"/>
            <w:vMerge w:val="restart"/>
            <w:tcBorders>
              <w:top w:val="single" w:color="auto" w:sz="4" w:space="0"/>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kern w:val="0"/>
                <w:sz w:val="22"/>
                <w:szCs w:val="22"/>
                <w14:textFill>
                  <w14:solidFill>
                    <w14:schemeClr w14:val="tx1"/>
                  </w14:solidFill>
                </w14:textFill>
              </w:rPr>
              <w:t>1</w:t>
            </w:r>
          </w:p>
        </w:tc>
        <w:tc>
          <w:tcPr>
            <w:tcW w:w="1300" w:type="dxa"/>
            <w:vMerge w:val="restart"/>
            <w:tcBorders>
              <w:top w:val="single" w:color="3F3F3F" w:sz="4" w:space="0"/>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sz w:val="22"/>
                <w:szCs w:val="22"/>
                <w14:textFill>
                  <w14:solidFill>
                    <w14:schemeClr w14:val="tx1"/>
                  </w14:solidFill>
                </w14:textFill>
              </w:rPr>
              <w:t>麻醉回路消毒机</w:t>
            </w: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numPr>
                <w:numId w:val="0"/>
              </w:numPr>
              <w:jc w:val="both"/>
              <w:rPr>
                <w:rFonts w:hint="default" w:ascii="Times New Roman" w:hAnsi="Times New Roman" w:cs="Times New Roman"/>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消毒机理：全部消毒过程使用醇类复合消毒液或3%过氧化氢消毒液(两种消毒液不能混合使用),机器不含臭氧结构，消毒过程无臭氧残留。</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2.</w:t>
            </w:r>
            <w:r>
              <w:rPr>
                <w:rFonts w:hint="default" w:ascii="Times New Roman" w:hAnsi="Times New Roman" w:cs="Times New Roman"/>
                <w:color w:val="000000" w:themeColor="text1"/>
                <w:sz w:val="22"/>
                <w:szCs w:val="22"/>
                <w14:textFill>
                  <w14:solidFill>
                    <w14:schemeClr w14:val="tx1"/>
                  </w14:solidFill>
                </w14:textFill>
              </w:rPr>
              <w:t>消毒时间：常规消毒程序≤30分钟(非手动调节)。</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pacing w:val="10"/>
                <w:sz w:val="22"/>
                <w:szCs w:val="22"/>
                <w14:textFill>
                  <w14:solidFill>
                    <w14:schemeClr w14:val="tx1"/>
                  </w14:solidFill>
                </w14:textFill>
              </w:rPr>
              <w:t>▲</w:t>
            </w:r>
            <w:r>
              <w:rPr>
                <w:rFonts w:hint="eastAsia" w:ascii="Times New Roman" w:hAnsi="Times New Roman" w:cs="Times New Roman"/>
                <w:color w:val="000000" w:themeColor="text1"/>
                <w:spacing w:val="10"/>
                <w:sz w:val="22"/>
                <w:szCs w:val="22"/>
                <w:lang w:val="en-US" w:eastAsia="zh-CN"/>
                <w14:textFill>
                  <w14:solidFill>
                    <w14:schemeClr w14:val="tx1"/>
                  </w14:solidFill>
                </w14:textFill>
              </w:rPr>
              <w:t>3.</w:t>
            </w:r>
            <w:r>
              <w:rPr>
                <w:rFonts w:hint="default" w:ascii="Times New Roman" w:hAnsi="Times New Roman" w:cs="Times New Roman"/>
                <w:color w:val="000000" w:themeColor="text1"/>
                <w:sz w:val="22"/>
                <w:szCs w:val="22"/>
                <w14:textFill>
                  <w14:solidFill>
                    <w14:schemeClr w14:val="tx1"/>
                  </w14:solidFill>
                </w14:textFill>
              </w:rPr>
              <w:t>消毒级别满足《消毒技术规范》(2002年版)最高要求。必须杀灭芽孢，符合消毒设备高水平 消毒要求，枯草杆菌黑色变种芽孢灭菌对数值&gt;3.0,提供国家食品药品监督管理局等国家政府检测机构检测报告并加盖公章</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4.</w:t>
            </w:r>
            <w:r>
              <w:rPr>
                <w:rFonts w:hint="default" w:ascii="Times New Roman" w:hAnsi="Times New Roman" w:cs="Times New Roman"/>
                <w:color w:val="000000" w:themeColor="text1"/>
                <w:sz w:val="22"/>
                <w:szCs w:val="22"/>
                <w14:textFill>
                  <w14:solidFill>
                    <w14:schemeClr w14:val="tx1"/>
                  </w14:solidFill>
                </w14:textFill>
              </w:rPr>
              <w:t>消毒腐蚀：消毒完成后回路内无任何腐蚀，提供无腐蚀性检测报告</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5.</w:t>
            </w:r>
            <w:r>
              <w:rPr>
                <w:rFonts w:hint="default" w:ascii="Times New Roman" w:hAnsi="Times New Roman" w:cs="Times New Roman"/>
                <w:color w:val="000000" w:themeColor="text1"/>
                <w:sz w:val="22"/>
                <w:szCs w:val="22"/>
                <w14:textFill>
                  <w14:solidFill>
                    <w14:schemeClr w14:val="tx1"/>
                  </w14:solidFill>
                </w14:textFill>
              </w:rPr>
              <w:t>温度控制装置，监控核心部位温度保证机器低于55°内部温度运行。</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6.</w:t>
            </w:r>
            <w:r>
              <w:rPr>
                <w:rFonts w:hint="default" w:ascii="Times New Roman" w:hAnsi="Times New Roman" w:cs="Times New Roman"/>
                <w:color w:val="000000" w:themeColor="text1"/>
                <w:sz w:val="22"/>
                <w:szCs w:val="22"/>
                <w14:textFill>
                  <w14:solidFill>
                    <w14:schemeClr w14:val="tx1"/>
                  </w14:solidFill>
                </w14:textFill>
              </w:rPr>
              <w:t>雾化方式：超声波雾化功能。</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7.</w:t>
            </w:r>
            <w:r>
              <w:rPr>
                <w:rFonts w:hint="default" w:ascii="Times New Roman" w:hAnsi="Times New Roman" w:cs="Times New Roman"/>
                <w:color w:val="000000" w:themeColor="text1"/>
                <w:sz w:val="22"/>
                <w:szCs w:val="22"/>
                <w14:textFill>
                  <w14:solidFill>
                    <w14:schemeClr w14:val="tx1"/>
                  </w14:solidFill>
                </w14:textFill>
              </w:rPr>
              <w:t>消毒设备具有国家二类医疗器械许可证、注册证、生产企业卫生许可证、消毒产品卫生安全</w:t>
            </w:r>
          </w:p>
          <w:p>
            <w:pPr>
              <w:widowControl/>
              <w:jc w:val="both"/>
              <w:rPr>
                <w:rFonts w:hint="default" w:ascii="Times New Roman" w:hAnsi="Times New Roman" w:cs="Times New Roman"/>
                <w:color w:val="000000" w:themeColor="text1"/>
                <w:kern w:val="0"/>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评价报告。消毒试剂具有生产企业卫生许可证、消毒产品卫生安全评价报告。</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8.</w:t>
            </w:r>
            <w:r>
              <w:rPr>
                <w:rFonts w:hint="default" w:ascii="Times New Roman" w:hAnsi="Times New Roman" w:cs="Times New Roman"/>
                <w:color w:val="000000" w:themeColor="text1"/>
                <w:sz w:val="22"/>
                <w:szCs w:val="22"/>
                <w14:textFill>
                  <w14:solidFill>
                    <w14:schemeClr w14:val="tx1"/>
                  </w14:solidFill>
                </w14:textFill>
              </w:rPr>
              <w:t>复合醇消毒液有效成份明确：  (乙醇含(78.0±5)%(v/v); 异丙醇(15±1)%(v/v))。</w:t>
            </w:r>
          </w:p>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且消毒液需提供无毒、无刺激、无粘连检验报告。</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single" w:color="3F3F3F" w:sz="4" w:space="0"/>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pacing w:val="10"/>
                <w:sz w:val="22"/>
                <w:szCs w:val="22"/>
                <w14:textFill>
                  <w14:solidFill>
                    <w14:schemeClr w14:val="tx1"/>
                  </w14:solidFill>
                </w14:textFill>
              </w:rPr>
              <w:t>▲</w:t>
            </w:r>
            <w:r>
              <w:rPr>
                <w:rFonts w:hint="eastAsia" w:ascii="Times New Roman" w:hAnsi="Times New Roman" w:cs="Times New Roman"/>
                <w:color w:val="000000" w:themeColor="text1"/>
                <w:spacing w:val="10"/>
                <w:sz w:val="22"/>
                <w:szCs w:val="22"/>
                <w:lang w:val="en-US" w:eastAsia="zh-CN"/>
                <w14:textFill>
                  <w14:solidFill>
                    <w14:schemeClr w14:val="tx1"/>
                  </w14:solidFill>
                </w14:textFill>
              </w:rPr>
              <w:t>9.</w:t>
            </w:r>
            <w:r>
              <w:rPr>
                <w:rFonts w:hint="default" w:ascii="Times New Roman" w:hAnsi="Times New Roman" w:cs="Times New Roman"/>
                <w:color w:val="000000" w:themeColor="text1"/>
                <w:sz w:val="22"/>
                <w:szCs w:val="22"/>
                <w14:textFill>
                  <w14:solidFill>
                    <w14:schemeClr w14:val="tx1"/>
                  </w14:solidFill>
                </w14:textFill>
              </w:rPr>
              <w:t>常规模式消毒一个周期消毒液用量：10ml±10%; 强化模式消毒一个周期消毒液用量：20ml   ±10%,消毒剂使用说明应包含适用于麻醉机、呼吸机消毒等字样，避免不当使用消毒剂导致麻醉</w:t>
            </w:r>
          </w:p>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机、呼吸机损坏(提供产品说明并加盖公章)</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nil"/>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pacing w:val="10"/>
                <w:sz w:val="22"/>
                <w:szCs w:val="22"/>
                <w14:textFill>
                  <w14:solidFill>
                    <w14:schemeClr w14:val="tx1"/>
                  </w14:solidFill>
                </w14:textFill>
              </w:rPr>
              <w:t>▲</w:t>
            </w:r>
            <w:r>
              <w:rPr>
                <w:rFonts w:hint="eastAsia" w:ascii="Times New Roman" w:hAnsi="Times New Roman" w:cs="Times New Roman"/>
                <w:color w:val="000000" w:themeColor="text1"/>
                <w:spacing w:val="10"/>
                <w:sz w:val="22"/>
                <w:szCs w:val="22"/>
                <w:lang w:val="en-US" w:eastAsia="zh-CN"/>
                <w14:textFill>
                  <w14:solidFill>
                    <w14:schemeClr w14:val="tx1"/>
                  </w14:solidFill>
                </w14:textFill>
              </w:rPr>
              <w:t>10.</w:t>
            </w:r>
            <w:r>
              <w:rPr>
                <w:rFonts w:hint="default" w:ascii="Times New Roman" w:hAnsi="Times New Roman" w:cs="Times New Roman"/>
                <w:color w:val="000000" w:themeColor="text1"/>
                <w:sz w:val="22"/>
                <w:szCs w:val="22"/>
                <w14:textFill>
                  <w14:solidFill>
                    <w14:schemeClr w14:val="tx1"/>
                  </w14:solidFill>
                </w14:textFill>
              </w:rPr>
              <w:t>对人类冠状病毒、脊髓灰质炎病毒 I 型疫苗株的杀灭对数值&gt;4.0;对龟分枝杆菌脓肿亚种、白 色念珠菌、大肠杆菌、金黄色葡葡球菌、铜绿假单菌的杀灭对数值&gt;3.0。提供国家食品药品监督管</w:t>
            </w:r>
          </w:p>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理局等国家政府检测机构检测报告并加盖公章。</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nil"/>
              <w:left w:val="nil"/>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spacing w:val="10"/>
                <w:sz w:val="22"/>
                <w:szCs w:val="22"/>
                <w14:textFill>
                  <w14:solidFill>
                    <w14:schemeClr w14:val="tx1"/>
                  </w14:solidFill>
                </w14:textFill>
              </w:rPr>
              <w:t>▲</w:t>
            </w:r>
            <w:r>
              <w:rPr>
                <w:rFonts w:hint="eastAsia" w:ascii="Times New Roman" w:hAnsi="Times New Roman" w:cs="Times New Roman"/>
                <w:color w:val="000000" w:themeColor="text1"/>
                <w:spacing w:val="10"/>
                <w:sz w:val="22"/>
                <w:szCs w:val="22"/>
                <w:lang w:val="en-US" w:eastAsia="zh-CN"/>
                <w14:textFill>
                  <w14:solidFill>
                    <w14:schemeClr w14:val="tx1"/>
                  </w14:solidFill>
                </w14:textFill>
              </w:rPr>
              <w:t>11.</w:t>
            </w:r>
            <w:r>
              <w:rPr>
                <w:rFonts w:hint="default" w:ascii="Times New Roman" w:hAnsi="Times New Roman" w:cs="Times New Roman"/>
                <w:color w:val="000000" w:themeColor="text1"/>
                <w:sz w:val="22"/>
                <w:szCs w:val="22"/>
                <w14:textFill>
                  <w14:solidFill>
                    <w14:schemeClr w14:val="tx1"/>
                  </w14:solidFill>
                </w14:textFill>
              </w:rPr>
              <w:t>麻醉机内部回路消毒时无须拆卸即可进行内部回路消毒，设备噪声≤55dB</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nil"/>
              <w:left w:val="single" w:color="auto" w:sz="4" w:space="0"/>
              <w:bottom w:val="single" w:color="3F3F3F" w:sz="4" w:space="0"/>
              <w:right w:val="single" w:color="3F3F3F" w:sz="4" w:space="0"/>
            </w:tcBorders>
            <w:shd w:val="clear" w:color="000000" w:fill="FFFFFF"/>
            <w:vAlign w:val="center"/>
          </w:tcPr>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12.</w:t>
            </w:r>
            <w:r>
              <w:rPr>
                <w:rFonts w:hint="default" w:ascii="Times New Roman" w:hAnsi="Times New Roman" w:cs="Times New Roman"/>
                <w:color w:val="000000" w:themeColor="text1"/>
                <w:sz w:val="22"/>
                <w:szCs w:val="22"/>
                <w14:textFill>
                  <w14:solidFill>
                    <w14:schemeClr w14:val="tx1"/>
                  </w14:solidFill>
                </w14:textFill>
              </w:rPr>
              <w:t>打印消毒记录：消毒结束后可打印消毒记录.</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single" w:color="3F3F3F" w:sz="4" w:space="0"/>
              <w:left w:val="single" w:color="auto" w:sz="4" w:space="0"/>
              <w:bottom w:val="single" w:color="3F3F3F" w:sz="4" w:space="0"/>
              <w:right w:val="single" w:color="3F3F3F" w:sz="4" w:space="0"/>
            </w:tcBorders>
            <w:vAlign w:val="center"/>
          </w:tcPr>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13.</w:t>
            </w:r>
            <w:r>
              <w:rPr>
                <w:rFonts w:hint="default" w:ascii="Times New Roman" w:hAnsi="Times New Roman" w:cs="Times New Roman"/>
                <w:color w:val="000000" w:themeColor="text1"/>
                <w:sz w:val="22"/>
                <w:szCs w:val="22"/>
                <w14:textFill>
                  <w14:solidFill>
                    <w14:schemeClr w14:val="tx1"/>
                  </w14:solidFill>
                </w14:textFill>
              </w:rPr>
              <w:t>自动加液：无液自动报警，更加合理人性化。</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single" w:color="3F3F3F" w:sz="4" w:space="0"/>
              <w:left w:val="single" w:color="auto" w:sz="4" w:space="0"/>
              <w:bottom w:val="single" w:color="3F3F3F" w:sz="4" w:space="0"/>
              <w:right w:val="single" w:color="3F3F3F" w:sz="4" w:space="0"/>
            </w:tcBorders>
            <w:vAlign w:val="center"/>
          </w:tcPr>
          <w:p>
            <w:pPr>
              <w:widowControl/>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z w:val="22"/>
                <w:szCs w:val="22"/>
                <w:lang w:val="en-US" w:eastAsia="zh-CN"/>
                <w14:textFill>
                  <w14:solidFill>
                    <w14:schemeClr w14:val="tx1"/>
                  </w14:solidFill>
                </w14:textFill>
              </w:rPr>
              <w:t>14.</w:t>
            </w:r>
            <w:r>
              <w:rPr>
                <w:rFonts w:hint="default" w:ascii="Times New Roman" w:hAnsi="Times New Roman" w:cs="Times New Roman"/>
                <w:color w:val="000000" w:themeColor="text1"/>
                <w:sz w:val="22"/>
                <w:szCs w:val="22"/>
                <w14:textFill>
                  <w14:solidFill>
                    <w14:schemeClr w14:val="tx1"/>
                  </w14:solidFill>
                </w14:textFill>
              </w:rPr>
              <w:t>消毒循环结束后，无需解析快速自然分解。</w:t>
            </w:r>
          </w:p>
        </w:tc>
      </w:tr>
      <w:tr>
        <w:tblPrEx>
          <w:tblCellMar>
            <w:top w:w="0" w:type="dxa"/>
            <w:left w:w="108" w:type="dxa"/>
            <w:bottom w:w="0" w:type="dxa"/>
            <w:right w:w="108" w:type="dxa"/>
          </w:tblCellMar>
        </w:tblPrEx>
        <w:trPr>
          <w:trHeight w:val="454" w:hRule="atLeast"/>
          <w:jc w:val="center"/>
        </w:trPr>
        <w:tc>
          <w:tcPr>
            <w:tcW w:w="673" w:type="dxa"/>
            <w:vMerge w:val="continue"/>
            <w:tcBorders>
              <w:left w:val="single" w:color="3F3F3F" w:sz="4" w:space="0"/>
              <w:bottom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1300" w:type="dxa"/>
            <w:vMerge w:val="continue"/>
            <w:tcBorders>
              <w:left w:val="single" w:color="3F3F3F" w:sz="4" w:space="0"/>
              <w:bottom w:val="single" w:color="3F3F3F" w:sz="4" w:space="0"/>
              <w:right w:val="single" w:color="3F3F3F" w:sz="4" w:space="0"/>
            </w:tcBorders>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p>
        </w:tc>
        <w:tc>
          <w:tcPr>
            <w:tcW w:w="7681" w:type="dxa"/>
            <w:tcBorders>
              <w:top w:val="single" w:color="3F3F3F" w:sz="4" w:space="0"/>
              <w:left w:val="single" w:color="auto" w:sz="4" w:space="0"/>
              <w:bottom w:val="single" w:color="3F3F3F" w:sz="4" w:space="0"/>
              <w:right w:val="single" w:color="3F3F3F" w:sz="4" w:space="0"/>
            </w:tcBorders>
            <w:vAlign w:val="center"/>
          </w:tcPr>
          <w:p>
            <w:pPr>
              <w:spacing w:before="74" w:line="219" w:lineRule="auto"/>
              <w:jc w:val="both"/>
              <w:rPr>
                <w:rFonts w:hint="default" w:ascii="Times New Roman" w:hAnsi="Times New Roman" w:cs="Times New Roman"/>
                <w:b/>
                <w:bCs/>
                <w:color w:val="000000" w:themeColor="text1"/>
                <w:kern w:val="0"/>
                <w:sz w:val="22"/>
                <w:szCs w:val="22"/>
                <w14:textFill>
                  <w14:solidFill>
                    <w14:schemeClr w14:val="tx1"/>
                  </w14:solidFill>
                </w14:textFill>
              </w:rPr>
            </w:pPr>
            <w:r>
              <w:rPr>
                <w:rFonts w:hint="eastAsia" w:ascii="Times New Roman" w:hAnsi="Times New Roman" w:cs="Times New Roman"/>
                <w:color w:val="000000" w:themeColor="text1"/>
                <w:spacing w:val="-2"/>
                <w:sz w:val="22"/>
                <w:szCs w:val="22"/>
                <w:lang w:val="en-US" w:eastAsia="zh-CN"/>
                <w14:textFill>
                  <w14:solidFill>
                    <w14:schemeClr w14:val="tx1"/>
                  </w14:solidFill>
                </w14:textFill>
              </w:rPr>
              <w:t>15.</w:t>
            </w:r>
            <w:r>
              <w:rPr>
                <w:rFonts w:hint="default" w:ascii="Times New Roman" w:hAnsi="Times New Roman" w:cs="Times New Roman"/>
                <w:color w:val="000000" w:themeColor="text1"/>
                <w:spacing w:val="-2"/>
                <w:sz w:val="22"/>
                <w:szCs w:val="22"/>
                <w14:textFill>
                  <w14:solidFill>
                    <w14:schemeClr w14:val="tx1"/>
                  </w14:solidFill>
                </w14:textFill>
              </w:rPr>
              <w:t>消毒机具有自动注水、排水功能。具有彩色触摸屏幕，屏幕尺寸≤9.7寸</w:t>
            </w:r>
          </w:p>
        </w:tc>
      </w:tr>
    </w:tbl>
    <w:p>
      <w:pPr>
        <w:widowControl/>
        <w:jc w:val="left"/>
        <w:rPr>
          <w:rFonts w:ascii="宋体" w:hAnsi="宋体" w:cs="宋体"/>
          <w:b/>
          <w:bCs/>
          <w:color w:val="3F3F3F"/>
          <w:kern w:val="0"/>
          <w:szCs w:val="21"/>
        </w:rPr>
      </w:pPr>
    </w:p>
    <w:p>
      <w:pPr>
        <w:widowControl/>
        <w:jc w:val="left"/>
        <w:rPr>
          <w:rFonts w:ascii="宋体" w:hAnsi="宋体" w:cs="宋体"/>
          <w:b/>
          <w:bCs/>
          <w:color w:val="3F3F3F"/>
          <w:kern w:val="0"/>
          <w:szCs w:val="21"/>
        </w:rPr>
      </w:pPr>
      <w:bookmarkStart w:id="0" w:name="_GoBack"/>
      <w:bookmarkEnd w:id="0"/>
    </w:p>
    <w:p>
      <w:pPr>
        <w:pStyle w:val="3"/>
        <w:bidi w:val="0"/>
        <w:jc w:val="center"/>
      </w:pPr>
      <w:r>
        <w:rPr>
          <w:rFonts w:hint="eastAsia"/>
        </w:rPr>
        <w:t>设备配套耗材试剂情况</w:t>
      </w:r>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hint="eastAsia" w:ascii="仿宋_GB2312" w:hAnsi="Times New Roman" w:eastAsia="仿宋_GB2312"/>
                <w:b/>
                <w:sz w:val="24"/>
                <w:szCs w:val="21"/>
                <w:lang w:eastAsia="zh-CN"/>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lang w:eastAsia="zh-CN"/>
              </w:rPr>
              <w:t>（</w:t>
            </w:r>
            <w:r>
              <w:rPr>
                <w:rFonts w:hint="eastAsia" w:ascii="仿宋_GB2312" w:hAnsi="Times New Roman" w:eastAsia="仿宋_GB2312"/>
                <w:b/>
                <w:sz w:val="24"/>
                <w:szCs w:val="21"/>
                <w:lang w:val="en-US" w:eastAsia="zh-CN"/>
              </w:rPr>
              <w:t>元</w:t>
            </w:r>
            <w:r>
              <w:rPr>
                <w:rFonts w:hint="eastAsia" w:ascii="仿宋_GB2312" w:hAnsi="Times New Roman" w:eastAsia="仿宋_GB2312"/>
                <w:b/>
                <w:sz w:val="24"/>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ascii="仿宋_GB2312" w:hAnsi="Times New Roman" w:eastAsia="仿宋_GB2312"/>
                <w:sz w:val="24"/>
                <w:szCs w:val="21"/>
              </w:rPr>
            </w:pPr>
            <w:r>
              <w:rPr>
                <w:rFonts w:hint="eastAsia" w:ascii="仿宋_GB2312" w:hAnsi="Times New Roman" w:eastAsia="仿宋_GB2312"/>
                <w:sz w:val="24"/>
                <w:szCs w:val="21"/>
              </w:rPr>
              <w:t>醇类复合消毒剂</w:t>
            </w:r>
          </w:p>
        </w:tc>
        <w:tc>
          <w:tcPr>
            <w:tcW w:w="1985" w:type="dxa"/>
            <w:vAlign w:val="center"/>
          </w:tcPr>
          <w:p>
            <w:pPr>
              <w:jc w:val="center"/>
              <w:rPr>
                <w:rFonts w:ascii="仿宋_GB2312" w:hAnsi="Times New Roman" w:eastAsia="仿宋_GB2312"/>
                <w:sz w:val="24"/>
                <w:szCs w:val="21"/>
              </w:rPr>
            </w:pPr>
            <w:r>
              <w:rPr>
                <w:rFonts w:hint="eastAsia" w:ascii="仿宋_GB2312" w:hAnsi="Times New Roman" w:eastAsia="仿宋_GB2312"/>
                <w:sz w:val="24"/>
                <w:szCs w:val="21"/>
              </w:rPr>
              <w:t>瓶</w:t>
            </w:r>
          </w:p>
        </w:tc>
        <w:tc>
          <w:tcPr>
            <w:tcW w:w="2126" w:type="dxa"/>
            <w:vAlign w:val="center"/>
          </w:tcPr>
          <w:p>
            <w:pPr>
              <w:jc w:val="center"/>
              <w:rPr>
                <w:rFonts w:ascii="仿宋_GB2312" w:hAnsi="Times New Roman" w:eastAsia="仿宋_GB2312"/>
                <w:sz w:val="24"/>
                <w:szCs w:val="21"/>
              </w:rPr>
            </w:pPr>
            <w:r>
              <w:rPr>
                <w:rFonts w:ascii="仿宋_GB2312" w:hAnsi="Times New Roman" w:eastAsia="仿宋_GB2312"/>
                <w:sz w:val="24"/>
                <w:szCs w:val="21"/>
              </w:rPr>
              <w:t>5</w:t>
            </w:r>
            <w:r>
              <w:rPr>
                <w:rFonts w:hint="eastAsia" w:ascii="仿宋_GB2312" w:hAnsi="Times New Roman" w:eastAsia="仿宋_GB2312"/>
                <w:sz w:val="24"/>
                <w:szCs w:val="21"/>
              </w:rPr>
              <w:t>00</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21F4C"/>
    <w:rsid w:val="00031B84"/>
    <w:rsid w:val="0007571F"/>
    <w:rsid w:val="00086401"/>
    <w:rsid w:val="000B3A24"/>
    <w:rsid w:val="000E0A0A"/>
    <w:rsid w:val="00100D1E"/>
    <w:rsid w:val="0012370B"/>
    <w:rsid w:val="00153A42"/>
    <w:rsid w:val="0015678E"/>
    <w:rsid w:val="00180716"/>
    <w:rsid w:val="0018661F"/>
    <w:rsid w:val="001B0A84"/>
    <w:rsid w:val="001C7876"/>
    <w:rsid w:val="001D5E72"/>
    <w:rsid w:val="00206936"/>
    <w:rsid w:val="002617DE"/>
    <w:rsid w:val="002738F1"/>
    <w:rsid w:val="002C0BFD"/>
    <w:rsid w:val="002C6C45"/>
    <w:rsid w:val="002D02F7"/>
    <w:rsid w:val="002D59FE"/>
    <w:rsid w:val="00300FEB"/>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19B2"/>
    <w:rsid w:val="00696C5E"/>
    <w:rsid w:val="006B7040"/>
    <w:rsid w:val="006C1BAB"/>
    <w:rsid w:val="006C428C"/>
    <w:rsid w:val="006F1FD9"/>
    <w:rsid w:val="0071790B"/>
    <w:rsid w:val="00735F7B"/>
    <w:rsid w:val="007562C7"/>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81C32"/>
    <w:rsid w:val="00B95A29"/>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EB6A44"/>
    <w:rsid w:val="00F128E8"/>
    <w:rsid w:val="00F176BB"/>
    <w:rsid w:val="00F3782E"/>
    <w:rsid w:val="00F40917"/>
    <w:rsid w:val="00F47DA3"/>
    <w:rsid w:val="00F749F5"/>
    <w:rsid w:val="00F84832"/>
    <w:rsid w:val="00FD02B5"/>
    <w:rsid w:val="00FD584F"/>
    <w:rsid w:val="00FE478A"/>
    <w:rsid w:val="1C8F7027"/>
    <w:rsid w:val="1F5913EE"/>
    <w:rsid w:val="20527BD7"/>
    <w:rsid w:val="22B33A92"/>
    <w:rsid w:val="2BD66523"/>
    <w:rsid w:val="429A3E37"/>
    <w:rsid w:val="445A1933"/>
    <w:rsid w:val="471C67C0"/>
    <w:rsid w:val="53B0140D"/>
    <w:rsid w:val="55E90999"/>
    <w:rsid w:val="573D4548"/>
    <w:rsid w:val="58E96A50"/>
    <w:rsid w:val="63DD4A16"/>
    <w:rsid w:val="779B71C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3"/>
    <w:autoRedefine/>
    <w:unhideWhenUsed/>
    <w:qFormat/>
    <w:uiPriority w:val="99"/>
    <w:pPr>
      <w:jc w:val="left"/>
    </w:pPr>
  </w:style>
  <w:style w:type="paragraph" w:styleId="5">
    <w:name w:val="Balloon Text"/>
    <w:basedOn w:val="1"/>
    <w:link w:val="14"/>
    <w:autoRedefine/>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kern w:val="0"/>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autoRedefine/>
    <w:unhideWhenUsed/>
    <w:qFormat/>
    <w:uiPriority w:val="99"/>
    <w:rPr>
      <w:sz w:val="21"/>
      <w:szCs w:val="21"/>
    </w:rPr>
  </w:style>
  <w:style w:type="character" w:customStyle="1" w:styleId="12">
    <w:name w:val="标题 1 Char"/>
    <w:link w:val="2"/>
    <w:autoRedefine/>
    <w:qFormat/>
    <w:uiPriority w:val="9"/>
    <w:rPr>
      <w:b/>
      <w:bCs/>
      <w:kern w:val="44"/>
      <w:sz w:val="44"/>
      <w:szCs w:val="44"/>
    </w:rPr>
  </w:style>
  <w:style w:type="character" w:customStyle="1" w:styleId="13">
    <w:name w:val="批注文字 Char"/>
    <w:link w:val="4"/>
    <w:autoRedefine/>
    <w:semiHidden/>
    <w:qFormat/>
    <w:uiPriority w:val="99"/>
    <w:rPr>
      <w:kern w:val="2"/>
      <w:sz w:val="21"/>
      <w:szCs w:val="22"/>
    </w:rPr>
  </w:style>
  <w:style w:type="character" w:customStyle="1" w:styleId="14">
    <w:name w:val="批注框文本 Char"/>
    <w:link w:val="5"/>
    <w:autoRedefine/>
    <w:semiHidden/>
    <w:qFormat/>
    <w:uiPriority w:val="99"/>
    <w:rPr>
      <w:kern w:val="2"/>
      <w:sz w:val="18"/>
      <w:szCs w:val="18"/>
    </w:rPr>
  </w:style>
  <w:style w:type="character" w:customStyle="1" w:styleId="15">
    <w:name w:val="页脚 Char"/>
    <w:link w:val="6"/>
    <w:autoRedefine/>
    <w:qFormat/>
    <w:uiPriority w:val="99"/>
    <w:rPr>
      <w:sz w:val="18"/>
      <w:szCs w:val="18"/>
    </w:rPr>
  </w:style>
  <w:style w:type="character" w:customStyle="1" w:styleId="16">
    <w:name w:val="页眉 Char"/>
    <w:link w:val="7"/>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7</Pages>
  <Words>318</Words>
  <Characters>1815</Characters>
  <Lines>15</Lines>
  <Paragraphs>4</Paragraphs>
  <TotalTime>1</TotalTime>
  <ScaleCrop>false</ScaleCrop>
  <LinksUpToDate>false</LinksUpToDate>
  <CharactersWithSpaces>2129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2024-04-16T06:32:06Z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7B582713080A48C7BB4542D06711577B_13</vt:lpwstr>
  </property>
</Properties>
</file>